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96" w:rsidRDefault="00D91896"/>
    <w:p w:rsidR="00D91896" w:rsidRDefault="00D91896"/>
    <w:p w:rsidR="00D91896" w:rsidRDefault="00D91896" w:rsidP="00D91896">
      <w:pPr>
        <w:jc w:val="center"/>
        <w:rPr>
          <w:rFonts w:ascii="Helvetica Neue" w:eastAsia="Times New Roman" w:hAnsi="Helvetica Neue" w:cs="Times New Roman"/>
          <w:color w:val="333333"/>
          <w:sz w:val="28"/>
          <w:szCs w:val="28"/>
          <w:shd w:val="clear" w:color="auto" w:fill="FFFFFF"/>
        </w:rPr>
      </w:pPr>
      <w:r w:rsidRPr="00D91896">
        <w:rPr>
          <w:rFonts w:ascii="Helvetica Neue" w:eastAsia="Times New Roman" w:hAnsi="Helvetica Neue" w:cs="Times New Roman"/>
          <w:color w:val="333333"/>
          <w:sz w:val="21"/>
          <w:szCs w:val="21"/>
        </w:rPr>
        <w:br/>
      </w:r>
      <w:r w:rsidRPr="00D91896">
        <w:rPr>
          <w:rFonts w:ascii="Times New Roman" w:eastAsia="Times New Roman" w:hAnsi="Times New Roman" w:cs="Times New Roman"/>
        </w:rPr>
        <w:br/>
      </w:r>
      <w:r w:rsidRPr="00D91896">
        <w:rPr>
          <w:rFonts w:ascii="Helvetica Neue" w:eastAsia="Times New Roman" w:hAnsi="Helvetica Neue" w:cs="Times New Roman"/>
          <w:color w:val="333333"/>
          <w:sz w:val="28"/>
          <w:szCs w:val="28"/>
          <w:shd w:val="clear" w:color="auto" w:fill="FFFFFF"/>
        </w:rPr>
        <w:t>Transition/Vocational Assessment: Considerations for the FIE at the Secondary Level</w:t>
      </w:r>
    </w:p>
    <w:p w:rsidR="00D91896" w:rsidRDefault="00D91896" w:rsidP="00D91896">
      <w:pPr>
        <w:jc w:val="center"/>
        <w:rPr>
          <w:rFonts w:ascii="Helvetica Neue" w:eastAsia="Times New Roman" w:hAnsi="Helvetica Neue" w:cs="Times New Roman"/>
          <w:color w:val="333333"/>
          <w:sz w:val="28"/>
          <w:szCs w:val="28"/>
          <w:shd w:val="clear" w:color="auto" w:fill="FFFFFF"/>
        </w:rPr>
      </w:pPr>
    </w:p>
    <w:p w:rsidR="00D91896" w:rsidRDefault="004F0A4A" w:rsidP="00D91896">
      <w:pPr>
        <w:jc w:val="center"/>
        <w:rPr>
          <w:rFonts w:ascii="Helvetica Neue" w:eastAsia="Times New Roman" w:hAnsi="Helvetica Neue" w:cs="Times New Roman"/>
          <w:color w:val="333333"/>
          <w:shd w:val="clear" w:color="auto" w:fill="FFFFFF"/>
        </w:rPr>
      </w:pPr>
      <w:hyperlink r:id="rId5" w:history="1">
        <w:r w:rsidR="00D91896" w:rsidRPr="001F09C6">
          <w:rPr>
            <w:rStyle w:val="Hyperlink"/>
            <w:rFonts w:ascii="Helvetica Neue" w:eastAsia="Times New Roman" w:hAnsi="Helvetica Neue" w:cs="Times New Roman"/>
            <w:shd w:val="clear" w:color="auto" w:fill="FFFFFF"/>
          </w:rPr>
          <w:t>Edward.schultz@msutexas.edu</w:t>
        </w:r>
      </w:hyperlink>
      <w:r w:rsidR="00D91896">
        <w:rPr>
          <w:rFonts w:ascii="Helvetica Neue" w:eastAsia="Times New Roman" w:hAnsi="Helvetica Neue" w:cs="Times New Roman"/>
          <w:color w:val="333333"/>
          <w:shd w:val="clear" w:color="auto" w:fill="FFFFFF"/>
        </w:rPr>
        <w:t xml:space="preserve"> </w:t>
      </w:r>
    </w:p>
    <w:p w:rsidR="00D91896" w:rsidRDefault="00D91896" w:rsidP="00D91896">
      <w:pPr>
        <w:jc w:val="center"/>
        <w:rPr>
          <w:rFonts w:ascii="Helvetica Neue" w:eastAsia="Times New Roman" w:hAnsi="Helvetica Neue" w:cs="Times New Roman"/>
          <w:color w:val="333333"/>
          <w:shd w:val="clear" w:color="auto" w:fill="FFFFFF"/>
        </w:rPr>
      </w:pPr>
    </w:p>
    <w:p w:rsidR="00D91896" w:rsidRDefault="00D91896" w:rsidP="00D91896">
      <w:pPr>
        <w:jc w:val="center"/>
        <w:rPr>
          <w:rFonts w:ascii="Helvetica Neue" w:eastAsia="Times New Roman" w:hAnsi="Helvetica Neue" w:cs="Times New Roman"/>
          <w:i/>
          <w:iCs/>
          <w:color w:val="333333"/>
          <w:sz w:val="21"/>
          <w:szCs w:val="21"/>
        </w:rPr>
      </w:pPr>
    </w:p>
    <w:p w:rsidR="00D91896" w:rsidRPr="00D91896" w:rsidRDefault="00D91896" w:rsidP="00D91896">
      <w:pPr>
        <w:rPr>
          <w:rFonts w:ascii="Times New Roman" w:eastAsia="Times New Roman" w:hAnsi="Times New Roman" w:cs="Times New Roman"/>
        </w:rPr>
      </w:pPr>
      <w:r w:rsidRPr="00D91896">
        <w:rPr>
          <w:rFonts w:ascii="Helvetica Neue" w:eastAsia="Times New Roman" w:hAnsi="Helvetica Neue" w:cs="Times New Roman"/>
          <w:i/>
          <w:iCs/>
          <w:color w:val="333333"/>
          <w:sz w:val="21"/>
          <w:szCs w:val="21"/>
        </w:rPr>
        <w:t>Secondary students (Grade 6-12) have different IEP requirements (e.g. transition, the summary of performance, etc.) than their elementary counterparts. This session is designed to assist assessment personnel in collecting, analyzing, and integrating information from transition/vocational assessments in both the full initial evaluation as well as re-evaluations of secondary students. Diagnosticians at both the secondary and elementary level will benefit.</w:t>
      </w:r>
    </w:p>
    <w:p w:rsidR="00D91896" w:rsidRDefault="00D91896"/>
    <w:p w:rsidR="00D91896" w:rsidRDefault="00D91896"/>
    <w:p w:rsidR="00D91896" w:rsidRDefault="00D91896"/>
    <w:p w:rsidR="00666AAB" w:rsidRDefault="00D91896" w:rsidP="00E344C5">
      <w:pPr>
        <w:jc w:val="center"/>
      </w:pPr>
      <w:r>
        <w:t>T</w:t>
      </w:r>
      <w:r w:rsidR="006C24CD">
        <w:t xml:space="preserve">ransition </w:t>
      </w:r>
      <w:r w:rsidR="00E344C5">
        <w:t xml:space="preserve">Training </w:t>
      </w:r>
    </w:p>
    <w:p w:rsidR="00D91896" w:rsidRDefault="00D91896"/>
    <w:p w:rsidR="00D91896" w:rsidRDefault="00D91896" w:rsidP="00D91896">
      <w:r>
        <w:t xml:space="preserve">Needs of contemporary student activity </w:t>
      </w:r>
    </w:p>
    <w:p w:rsidR="00E344C5" w:rsidRDefault="00E344C5" w:rsidP="00E344C5">
      <w:pPr>
        <w:pStyle w:val="ListParagraph"/>
        <w:numPr>
          <w:ilvl w:val="0"/>
          <w:numId w:val="4"/>
        </w:numPr>
      </w:pPr>
      <w:r w:rsidRPr="00E344C5">
        <w:t>https://youth.gov/youth-topics/youth-mental-health/risk-and-protective-factors-youth</w:t>
      </w:r>
    </w:p>
    <w:p w:rsidR="00E344C5" w:rsidRDefault="00E344C5" w:rsidP="00E344C5">
      <w:pPr>
        <w:ind w:left="360"/>
      </w:pPr>
    </w:p>
    <w:p w:rsidR="00D91896" w:rsidRDefault="00E344C5" w:rsidP="00E344C5">
      <w:pPr>
        <w:pStyle w:val="ListParagraph"/>
        <w:numPr>
          <w:ilvl w:val="0"/>
          <w:numId w:val="4"/>
        </w:numPr>
      </w:pPr>
      <w:r>
        <w:t xml:space="preserve">Developmental Assets </w:t>
      </w:r>
    </w:p>
    <w:p w:rsidR="00E344C5" w:rsidRDefault="00E344C5" w:rsidP="00E344C5">
      <w:pPr>
        <w:pStyle w:val="ListParagraph"/>
      </w:pPr>
      <w:hyperlink r:id="rId6" w:history="1">
        <w:r w:rsidRPr="001F09C6">
          <w:rPr>
            <w:rStyle w:val="Hyperlink"/>
          </w:rPr>
          <w:t>https://www.search-institute.org/our-research/development-assets/developmental-assets-framework/</w:t>
        </w:r>
      </w:hyperlink>
    </w:p>
    <w:p w:rsidR="00E344C5" w:rsidRDefault="004F0A4A" w:rsidP="00E344C5">
      <w:pPr>
        <w:pStyle w:val="ListParagraph"/>
        <w:numPr>
          <w:ilvl w:val="0"/>
          <w:numId w:val="4"/>
        </w:numPr>
      </w:pPr>
      <w:hyperlink r:id="rId7" w:history="1">
        <w:r w:rsidR="00E344C5" w:rsidRPr="001F09C6">
          <w:rPr>
            <w:rStyle w:val="Hyperlink"/>
          </w:rPr>
          <w:t>https://www.ncld.org/transitioning-to-life-after-high-school</w:t>
        </w:r>
      </w:hyperlink>
    </w:p>
    <w:p w:rsidR="00E344C5" w:rsidRDefault="00E344C5" w:rsidP="00E344C5">
      <w:pPr>
        <w:pStyle w:val="ListParagraph"/>
        <w:numPr>
          <w:ilvl w:val="0"/>
          <w:numId w:val="4"/>
        </w:numPr>
      </w:pPr>
      <w:r>
        <w:t xml:space="preserve">Student Voices Executive Summary </w:t>
      </w:r>
    </w:p>
    <w:p w:rsidR="00D91896" w:rsidRDefault="00D91896"/>
    <w:p w:rsidR="00D91896" w:rsidRDefault="004F0A4A" w:rsidP="00D91896">
      <w:hyperlink r:id="rId8" w:anchor="content" w:history="1">
        <w:r w:rsidR="00D91896" w:rsidRPr="00C42D1E">
          <w:rPr>
            <w:rStyle w:val="Hyperlink"/>
          </w:rPr>
          <w:t>https://iris.peabody.vanderbilt.edu/module/tran/#content</w:t>
        </w:r>
      </w:hyperlink>
    </w:p>
    <w:p w:rsidR="00D91896" w:rsidRDefault="00D91896"/>
    <w:p w:rsidR="00D91896" w:rsidRDefault="00D91896" w:rsidP="00D91896">
      <w:pPr>
        <w:pStyle w:val="ListParagraph"/>
        <w:numPr>
          <w:ilvl w:val="0"/>
          <w:numId w:val="1"/>
        </w:numPr>
      </w:pPr>
      <w:r>
        <w:t xml:space="preserve">Legal Definition </w:t>
      </w:r>
      <w:hyperlink r:id="rId9" w:history="1">
        <w:r w:rsidR="00E344C5" w:rsidRPr="001F09C6">
          <w:rPr>
            <w:rStyle w:val="Hyperlink"/>
          </w:rPr>
          <w:t>https://www.transitionintexas.org/Page/85</w:t>
        </w:r>
      </w:hyperlink>
      <w:r w:rsidR="00E344C5">
        <w:t xml:space="preserve"> </w:t>
      </w:r>
    </w:p>
    <w:p w:rsidR="00D91896" w:rsidRDefault="00D91896" w:rsidP="00D91896">
      <w:pPr>
        <w:pStyle w:val="ListParagraph"/>
        <w:numPr>
          <w:ilvl w:val="0"/>
          <w:numId w:val="1"/>
        </w:numPr>
      </w:pPr>
      <w:r>
        <w:t xml:space="preserve">Checklist </w:t>
      </w:r>
    </w:p>
    <w:p w:rsidR="00153D54" w:rsidRDefault="00153D54" w:rsidP="00D91896">
      <w:pPr>
        <w:pStyle w:val="ListParagraph"/>
        <w:numPr>
          <w:ilvl w:val="0"/>
          <w:numId w:val="1"/>
        </w:numPr>
      </w:pPr>
      <w:r>
        <w:t xml:space="preserve">Program Structure Discussion </w:t>
      </w:r>
    </w:p>
    <w:p w:rsidR="00153D54" w:rsidRDefault="00153D54" w:rsidP="00D91896">
      <w:pPr>
        <w:pStyle w:val="ListParagraph"/>
        <w:numPr>
          <w:ilvl w:val="0"/>
          <w:numId w:val="1"/>
        </w:numPr>
      </w:pPr>
      <w:r>
        <w:t>Student Development</w:t>
      </w:r>
    </w:p>
    <w:p w:rsidR="00153D54" w:rsidRDefault="00153D54" w:rsidP="00153D54">
      <w:pPr>
        <w:pStyle w:val="ListParagraph"/>
        <w:numPr>
          <w:ilvl w:val="1"/>
          <w:numId w:val="1"/>
        </w:numPr>
      </w:pPr>
      <w:r>
        <w:t>Informal Assessments (E-Jam)</w:t>
      </w:r>
    </w:p>
    <w:p w:rsidR="00153D54" w:rsidRDefault="00153D54" w:rsidP="00153D54">
      <w:pPr>
        <w:pStyle w:val="ListParagraph"/>
        <w:numPr>
          <w:ilvl w:val="1"/>
          <w:numId w:val="1"/>
        </w:numPr>
      </w:pPr>
      <w:r>
        <w:t xml:space="preserve">Formal Assessments (ARC) </w:t>
      </w:r>
    </w:p>
    <w:p w:rsidR="00153D54" w:rsidRDefault="00153D54" w:rsidP="00153D54"/>
    <w:p w:rsidR="00153D54" w:rsidRDefault="004F0A4A" w:rsidP="00153D54">
      <w:hyperlink r:id="rId10" w:history="1">
        <w:r w:rsidR="00153D54" w:rsidRPr="00C92B08">
          <w:rPr>
            <w:rStyle w:val="Hyperlink"/>
          </w:rPr>
          <w:t>https://tagg.ou.edu/tagg/dashboard</w:t>
        </w:r>
      </w:hyperlink>
    </w:p>
    <w:p w:rsidR="00153D54" w:rsidRDefault="00153D54" w:rsidP="00153D54"/>
    <w:p w:rsidR="006C24CD" w:rsidRDefault="006C24CD"/>
    <w:p w:rsidR="006C24CD" w:rsidRDefault="006C24CD"/>
    <w:p w:rsidR="009C67E2" w:rsidRDefault="009C67E2"/>
    <w:p w:rsidR="009C67E2" w:rsidRDefault="009C67E2"/>
    <w:p w:rsidR="00A57041" w:rsidRDefault="00E344C5">
      <w:r>
        <w:rPr>
          <w:noProof/>
        </w:rPr>
        <w:drawing>
          <wp:inline distT="0" distB="0" distL="0" distR="0" wp14:anchorId="7CDD7FA2" wp14:editId="2B39BBA3">
            <wp:extent cx="5943600" cy="5969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AndLogoFinal.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96900"/>
                    </a:xfrm>
                    <a:prstGeom prst="rect">
                      <a:avLst/>
                    </a:prstGeom>
                  </pic:spPr>
                </pic:pic>
              </a:graphicData>
            </a:graphic>
          </wp:inline>
        </w:drawing>
      </w:r>
    </w:p>
    <w:p w:rsidR="00E344C5" w:rsidRDefault="00E344C5"/>
    <w:p w:rsidR="00A57041" w:rsidRDefault="004F0A4A">
      <w:hyperlink r:id="rId12" w:history="1">
        <w:r w:rsidR="00E344C5" w:rsidRPr="001F09C6">
          <w:rPr>
            <w:rStyle w:val="Hyperlink"/>
          </w:rPr>
          <w:t>https://transitioncoalition.org/</w:t>
        </w:r>
      </w:hyperlink>
    </w:p>
    <w:p w:rsidR="0036382B" w:rsidRDefault="0036382B"/>
    <w:p w:rsidR="0036382B" w:rsidRDefault="0036382B" w:rsidP="0036382B">
      <w:pPr>
        <w:pStyle w:val="ListParagraph"/>
        <w:numPr>
          <w:ilvl w:val="0"/>
          <w:numId w:val="5"/>
        </w:numPr>
      </w:pPr>
      <w:r>
        <w:t>Independent Living Survey</w:t>
      </w:r>
    </w:p>
    <w:p w:rsidR="0036382B" w:rsidRDefault="0036382B" w:rsidP="0036382B">
      <w:pPr>
        <w:pStyle w:val="ListParagraph"/>
        <w:numPr>
          <w:ilvl w:val="0"/>
          <w:numId w:val="5"/>
        </w:numPr>
      </w:pPr>
      <w:r>
        <w:t>College Prep</w:t>
      </w:r>
    </w:p>
    <w:p w:rsidR="00565E70" w:rsidRDefault="00565E70" w:rsidP="0036382B">
      <w:pPr>
        <w:pStyle w:val="ListParagraph"/>
        <w:numPr>
          <w:ilvl w:val="0"/>
          <w:numId w:val="5"/>
        </w:numPr>
      </w:pPr>
      <w:r>
        <w:t xml:space="preserve">Transition Checklist and Modules </w:t>
      </w:r>
    </w:p>
    <w:p w:rsidR="00A57041" w:rsidRDefault="00A57041"/>
    <w:p w:rsidR="00153D54" w:rsidRDefault="00D91896" w:rsidP="00153D54">
      <w:r>
        <w:t xml:space="preserve">Topic </w:t>
      </w:r>
      <w:r w:rsidR="00153D54">
        <w:t>Self Directed IEP</w:t>
      </w:r>
    </w:p>
    <w:p w:rsidR="00153D54" w:rsidRDefault="004F0A4A">
      <w:hyperlink r:id="rId13" w:history="1">
        <w:r w:rsidR="00153D54" w:rsidRPr="001F09C6">
          <w:rPr>
            <w:rStyle w:val="Hyperlink"/>
          </w:rPr>
          <w:t>http://www.ou.edu/education/centers-and-partnerships/zarrow/choicemaker-curriculum/self-directed-iep</w:t>
        </w:r>
      </w:hyperlink>
    </w:p>
    <w:p w:rsidR="00565E70" w:rsidRDefault="00565E70"/>
    <w:p w:rsidR="00153D54" w:rsidRDefault="004F0A4A">
      <w:hyperlink r:id="rId14" w:history="1">
        <w:r w:rsidR="00565E70" w:rsidRPr="001F09C6">
          <w:rPr>
            <w:rStyle w:val="Hyperlink"/>
          </w:rPr>
          <w:t>http://blog.brookespublishing.com/9-first-steps-to-student-directed-ieps/</w:t>
        </w:r>
      </w:hyperlink>
    </w:p>
    <w:p w:rsidR="00565E70" w:rsidRDefault="00565E70"/>
    <w:p w:rsidR="00565E70" w:rsidRDefault="00C00559">
      <w:r>
        <w:t xml:space="preserve">Assessments </w:t>
      </w:r>
    </w:p>
    <w:p w:rsidR="00C00559" w:rsidRDefault="00C00559"/>
    <w:p w:rsidR="00C00559" w:rsidRDefault="00C00559">
      <w:r>
        <w:t>IEP</w:t>
      </w:r>
    </w:p>
    <w:p w:rsidR="00C00559" w:rsidRDefault="00C00559"/>
    <w:p w:rsidR="00C00559" w:rsidRDefault="004F0A4A">
      <w:hyperlink r:id="rId15" w:history="1">
        <w:r w:rsidR="00C00559" w:rsidRPr="001F09C6">
          <w:rPr>
            <w:rStyle w:val="Hyperlink"/>
          </w:rPr>
          <w:t>https://www.youth-move.org/transition-basics/measurable-postsecondary-goals</w:t>
        </w:r>
      </w:hyperlink>
    </w:p>
    <w:p w:rsidR="00C00559" w:rsidRDefault="00C00559"/>
    <w:p w:rsidR="00C00559" w:rsidRDefault="00C00559">
      <w:r>
        <w:t xml:space="preserve">Samples of plans </w:t>
      </w:r>
    </w:p>
    <w:p w:rsidR="00153D54" w:rsidRDefault="00153D54"/>
    <w:sectPr w:rsidR="00153D54" w:rsidSect="00A3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DAA"/>
    <w:multiLevelType w:val="hybridMultilevel"/>
    <w:tmpl w:val="48AC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7635"/>
    <w:multiLevelType w:val="hybridMultilevel"/>
    <w:tmpl w:val="89BA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53C88"/>
    <w:multiLevelType w:val="hybridMultilevel"/>
    <w:tmpl w:val="E736C4FE"/>
    <w:lvl w:ilvl="0" w:tplc="8D6E33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807F0D"/>
    <w:multiLevelType w:val="hybridMultilevel"/>
    <w:tmpl w:val="F2EE59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42293"/>
    <w:multiLevelType w:val="hybridMultilevel"/>
    <w:tmpl w:val="D3D8AF92"/>
    <w:lvl w:ilvl="0" w:tplc="1B724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CD"/>
    <w:rsid w:val="00153D54"/>
    <w:rsid w:val="0036382B"/>
    <w:rsid w:val="00565E70"/>
    <w:rsid w:val="00666AAB"/>
    <w:rsid w:val="006C24CD"/>
    <w:rsid w:val="007321DE"/>
    <w:rsid w:val="00871784"/>
    <w:rsid w:val="00906112"/>
    <w:rsid w:val="009C67E2"/>
    <w:rsid w:val="00A341F1"/>
    <w:rsid w:val="00A57041"/>
    <w:rsid w:val="00C00559"/>
    <w:rsid w:val="00D91896"/>
    <w:rsid w:val="00E3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7F7ED"/>
  <w15:chartTrackingRefBased/>
  <w15:docId w15:val="{9B569625-F9D9-8749-8383-2AA9297A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4CD"/>
    <w:rPr>
      <w:color w:val="0563C1" w:themeColor="hyperlink"/>
      <w:u w:val="single"/>
    </w:rPr>
  </w:style>
  <w:style w:type="character" w:customStyle="1" w:styleId="UnresolvedMention">
    <w:name w:val="Unresolved Mention"/>
    <w:basedOn w:val="DefaultParagraphFont"/>
    <w:uiPriority w:val="99"/>
    <w:semiHidden/>
    <w:unhideWhenUsed/>
    <w:rsid w:val="006C24CD"/>
    <w:rPr>
      <w:color w:val="605E5C"/>
      <w:shd w:val="clear" w:color="auto" w:fill="E1DFDD"/>
    </w:rPr>
  </w:style>
  <w:style w:type="character" w:styleId="FollowedHyperlink">
    <w:name w:val="FollowedHyperlink"/>
    <w:basedOn w:val="DefaultParagraphFont"/>
    <w:uiPriority w:val="99"/>
    <w:semiHidden/>
    <w:unhideWhenUsed/>
    <w:rsid w:val="00D91896"/>
    <w:rPr>
      <w:color w:val="954F72" w:themeColor="followedHyperlink"/>
      <w:u w:val="single"/>
    </w:rPr>
  </w:style>
  <w:style w:type="paragraph" w:styleId="ListParagraph">
    <w:name w:val="List Paragraph"/>
    <w:basedOn w:val="Normal"/>
    <w:uiPriority w:val="34"/>
    <w:qFormat/>
    <w:rsid w:val="00D91896"/>
    <w:pPr>
      <w:ind w:left="720"/>
      <w:contextualSpacing/>
    </w:pPr>
  </w:style>
  <w:style w:type="paragraph" w:styleId="BalloonText">
    <w:name w:val="Balloon Text"/>
    <w:basedOn w:val="Normal"/>
    <w:link w:val="BalloonTextChar"/>
    <w:uiPriority w:val="99"/>
    <w:semiHidden/>
    <w:unhideWhenUsed/>
    <w:rsid w:val="00E344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44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1016">
      <w:bodyDiv w:val="1"/>
      <w:marLeft w:val="0"/>
      <w:marRight w:val="0"/>
      <w:marTop w:val="0"/>
      <w:marBottom w:val="0"/>
      <w:divBdr>
        <w:top w:val="none" w:sz="0" w:space="0" w:color="auto"/>
        <w:left w:val="none" w:sz="0" w:space="0" w:color="auto"/>
        <w:bottom w:val="none" w:sz="0" w:space="0" w:color="auto"/>
        <w:right w:val="none" w:sz="0" w:space="0" w:color="auto"/>
      </w:divBdr>
    </w:div>
    <w:div w:id="5450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tran/" TargetMode="External"/><Relationship Id="rId13" Type="http://schemas.openxmlformats.org/officeDocument/2006/relationships/hyperlink" Target="http://www.ou.edu/education/centers-and-partnerships/zarrow/choicemaker-curriculum/self-directed-iep" TargetMode="External"/><Relationship Id="rId3" Type="http://schemas.openxmlformats.org/officeDocument/2006/relationships/settings" Target="settings.xml"/><Relationship Id="rId7" Type="http://schemas.openxmlformats.org/officeDocument/2006/relationships/hyperlink" Target="https://www.ncld.org/transitioning-to-life-after-high-school" TargetMode="External"/><Relationship Id="rId12" Type="http://schemas.openxmlformats.org/officeDocument/2006/relationships/hyperlink" Target="https://transitioncoali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arch-institute.org/our-research/development-assets/developmental-assets-framework/" TargetMode="External"/><Relationship Id="rId11" Type="http://schemas.openxmlformats.org/officeDocument/2006/relationships/image" Target="media/image1.png"/><Relationship Id="rId5" Type="http://schemas.openxmlformats.org/officeDocument/2006/relationships/hyperlink" Target="mailto:Edward.schultz@msutexas.edu" TargetMode="External"/><Relationship Id="rId15" Type="http://schemas.openxmlformats.org/officeDocument/2006/relationships/hyperlink" Target="https://www.youth-move.org/transition-basics/measurable-postsecondary-goals" TargetMode="External"/><Relationship Id="rId10" Type="http://schemas.openxmlformats.org/officeDocument/2006/relationships/hyperlink" Target="https://tagg.ou.edu/tagg/dashboard" TargetMode="External"/><Relationship Id="rId4" Type="http://schemas.openxmlformats.org/officeDocument/2006/relationships/webSettings" Target="webSettings.xml"/><Relationship Id="rId9" Type="http://schemas.openxmlformats.org/officeDocument/2006/relationships/hyperlink" Target="https://www.transitionintexas.org/Page/85" TargetMode="External"/><Relationship Id="rId14" Type="http://schemas.openxmlformats.org/officeDocument/2006/relationships/hyperlink" Target="http://blog.brookespublishing.com/9-first-steps-to-student-directed-i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2019-02-28T16:13:00Z</dcterms:created>
  <dcterms:modified xsi:type="dcterms:W3CDTF">2019-03-01T02:53:00Z</dcterms:modified>
</cp:coreProperties>
</file>